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810B" w14:textId="44EB8B3F" w:rsidR="001B43FF" w:rsidRPr="002045E9" w:rsidRDefault="007C561D" w:rsidP="00E41097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45E9">
        <w:rPr>
          <w:rFonts w:ascii="Arial" w:hAnsi="Arial" w:cs="Arial"/>
          <w:b/>
          <w:bCs/>
          <w:sz w:val="22"/>
          <w:szCs w:val="22"/>
        </w:rPr>
        <w:t>Hybr</w:t>
      </w:r>
      <w:r w:rsidR="001B43FF" w:rsidRPr="002045E9">
        <w:rPr>
          <w:rFonts w:ascii="Arial" w:hAnsi="Arial" w:cs="Arial"/>
          <w:b/>
          <w:bCs/>
          <w:sz w:val="22"/>
          <w:szCs w:val="22"/>
        </w:rPr>
        <w:t xml:space="preserve">id </w:t>
      </w:r>
      <w:r w:rsidR="00E41097">
        <w:rPr>
          <w:rFonts w:ascii="Arial" w:hAnsi="Arial" w:cs="Arial"/>
          <w:b/>
          <w:bCs/>
          <w:sz w:val="22"/>
          <w:szCs w:val="22"/>
        </w:rPr>
        <w:t>Module Planning Template</w:t>
      </w:r>
    </w:p>
    <w:p w14:paraId="6C8D49DF" w14:textId="6A2C7392" w:rsidR="001B43FF" w:rsidRPr="0027795A" w:rsidRDefault="00605298" w:rsidP="0098335C">
      <w:pPr>
        <w:spacing w:line="240" w:lineRule="auto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291B5" wp14:editId="53F7317F">
                <wp:simplePos x="0" y="0"/>
                <wp:positionH relativeFrom="column">
                  <wp:posOffset>-228600</wp:posOffset>
                </wp:positionH>
                <wp:positionV relativeFrom="paragraph">
                  <wp:posOffset>80285</wp:posOffset>
                </wp:positionV>
                <wp:extent cx="8599789" cy="179172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789" cy="1791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3715D" w14:textId="309F863E" w:rsidR="00E021AE" w:rsidRDefault="007D13AC" w:rsidP="00DE48D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Saint Leo University, </w:t>
                            </w:r>
                            <w:r w:rsidR="00AC4D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DE48D4" w:rsidRPr="00605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ybrid courses </w:t>
                            </w:r>
                            <w:r w:rsidR="00AC4D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integrate </w:t>
                            </w:r>
                            <w:r w:rsidR="00693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DE48D4" w:rsidRPr="00605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variety of modalities</w:t>
                            </w:r>
                            <w:r w:rsidR="00693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including face-to-face, video conferencing, and/or asynchronous online</w:t>
                            </w:r>
                            <w:r w:rsidR="00DE48D4" w:rsidRPr="00605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70C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 w:rsidR="00C5216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synchronous class meetings, </w:t>
                            </w:r>
                            <w:r w:rsidR="00DE48D4"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on-ground (F2F) </w:t>
                            </w:r>
                            <w:r w:rsidR="00D70C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or</w:t>
                            </w:r>
                            <w:r w:rsidR="00DE48D4"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videoconferencing (</w:t>
                            </w:r>
                            <w:r w:rsidR="00B004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Zoom</w:t>
                            </w:r>
                            <w:r w:rsidR="00DE48D4"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="00C5216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DE48D4"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everyone meets in the same modality, at the same time. </w:t>
                            </w:r>
                            <w:r w:rsidR="0000141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="00DE48D4"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synchronous online learning (OL)</w:t>
                            </w:r>
                            <w:r w:rsidR="0000141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may also be used as a modality.  All three modalities</w:t>
                            </w:r>
                            <w:r w:rsidR="007756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rely on </w:t>
                            </w:r>
                            <w:r w:rsidR="00DE48D4"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 well-developed D2L course shell. The key to a successful hybrid course is in the preparation</w:t>
                            </w:r>
                            <w:r w:rsidR="007756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</w:t>
                            </w:r>
                            <w:r w:rsidR="00DE48D4"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effective continuity between multiple environments. Rather than approaching the design process as planning for three different modalities, it is important to consider how the delivery modes work </w:t>
                            </w:r>
                            <w:r w:rsidR="00E021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holistically.</w:t>
                            </w:r>
                            <w:r w:rsidR="00DE48D4"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51E0523" w14:textId="77777777" w:rsidR="00E021AE" w:rsidRDefault="00E021AE" w:rsidP="00DE48D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5E962C6" w14:textId="63844A34" w:rsidR="00DE48D4" w:rsidRDefault="00DE48D4" w:rsidP="00DE48D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This </w:t>
                            </w:r>
                            <w:r w:rsidR="00E021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planning 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document has been created to assist faculty </w:t>
                            </w:r>
                            <w:r w:rsidR="00FA438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in this process.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structure asks faculty to determine the various components of each </w:t>
                            </w:r>
                            <w:r w:rsidR="00791FE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wee</w:t>
                            </w:r>
                            <w:r w:rsidR="009A4A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k</w:t>
                            </w:r>
                            <w:r w:rsidR="00791FE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modul</w:t>
                            </w:r>
                            <w:r w:rsidR="00791FE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e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then plan out the activities, materials, and assessments. The framework also provides</w:t>
                            </w:r>
                            <w:r w:rsidR="00772AE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spaces 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to connect the activities to student learning outcomes or objectives</w:t>
                            </w:r>
                            <w:r w:rsidR="0010330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to 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determine which delivery </w:t>
                            </w:r>
                            <w:r w:rsidR="00E920D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option 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(F2F, </w:t>
                            </w:r>
                            <w:r w:rsidR="00B004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Zoom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, or OL) is most effective</w:t>
                            </w:r>
                            <w:r w:rsidR="00E920D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for each part</w:t>
                            </w:r>
                            <w:r w:rsidR="0010330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, and</w:t>
                            </w:r>
                            <w:r w:rsidR="00E920D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 </w:t>
                            </w:r>
                            <w:r w:rsidR="000D28E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not</w:t>
                            </w:r>
                            <w:r w:rsidR="0065461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e</w:t>
                            </w:r>
                            <w:r w:rsidR="000D28E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how 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continuity</w:t>
                            </w:r>
                            <w:r w:rsidR="000D28E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achieved</w:t>
                            </w:r>
                            <w:r w:rsidRPr="006052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between each of the</w:t>
                            </w:r>
                            <w:r w:rsidR="000D28E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modalities.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29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6.3pt;width:677.15pt;height:1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" fillcolor="white [3201]" stroked="f" strokeweight=".5pt">
                <v:textbox>
                  <w:txbxContent>
                    <w:p w14:paraId="43E3715D" w14:textId="309F863E" w:rsidR="00E021AE" w:rsidRDefault="007D13AC" w:rsidP="00DE48D4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Saint Leo University, </w:t>
                      </w:r>
                      <w:r w:rsidR="00AC4D5B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DE48D4" w:rsidRPr="006052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ybrid courses </w:t>
                      </w:r>
                      <w:r w:rsidR="00AC4D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integrate </w:t>
                      </w:r>
                      <w:r w:rsidR="00693846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DE48D4" w:rsidRPr="006052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variety of modalities</w:t>
                      </w:r>
                      <w:r w:rsidR="006938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including face-to-face, video conferencing, and/or asynchronous online</w:t>
                      </w:r>
                      <w:r w:rsidR="00DE48D4" w:rsidRPr="006052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70C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During </w:t>
                      </w:r>
                      <w:r w:rsidR="00C52160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synchronous class meetings, </w:t>
                      </w:r>
                      <w:r w:rsidR="00DE48D4"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on-ground (F2F) </w:t>
                      </w:r>
                      <w:r w:rsidR="00D70C80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or</w:t>
                      </w:r>
                      <w:r w:rsidR="00DE48D4"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videoconferencing (</w:t>
                      </w:r>
                      <w:r w:rsidR="00B0047F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Zoom</w:t>
                      </w:r>
                      <w:r w:rsidR="00DE48D4"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="00C52160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DE48D4"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everyone meets in the same modality, at the same time. </w:t>
                      </w:r>
                      <w:r w:rsidR="00001410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 w:rsidR="00DE48D4"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synchronous online learning (OL)</w:t>
                      </w:r>
                      <w:r w:rsidR="00001410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may also be used as a modality.  All three modalities</w:t>
                      </w:r>
                      <w:r w:rsidR="00775647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rely on </w:t>
                      </w:r>
                      <w:r w:rsidR="00DE48D4"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a well-developed D2L course shell. The key to a successful hybrid course is in the preparation</w:t>
                      </w:r>
                      <w:r w:rsidR="00775647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and</w:t>
                      </w:r>
                      <w:r w:rsidR="00DE48D4"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effective continuity between multiple environments. Rather than approaching the design process as planning for three different modalities, it is important to consider how the delivery modes work </w:t>
                      </w:r>
                      <w:r w:rsidR="00E021AE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holistically.</w:t>
                      </w:r>
                      <w:r w:rsidR="00DE48D4"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51E0523" w14:textId="77777777" w:rsidR="00E021AE" w:rsidRDefault="00E021AE" w:rsidP="00DE48D4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5E962C6" w14:textId="63844A34" w:rsidR="00DE48D4" w:rsidRDefault="00DE48D4" w:rsidP="00DE48D4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This </w:t>
                      </w:r>
                      <w:r w:rsidR="00E021AE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planning 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document has been created to assist faculty </w:t>
                      </w:r>
                      <w:r w:rsidR="00FA438B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in this process.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The structure asks faculty to determine the various components of each </w:t>
                      </w:r>
                      <w:r w:rsidR="00791FEE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wee</w:t>
                      </w:r>
                      <w:r w:rsidR="009A4A72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k</w:t>
                      </w:r>
                      <w:r w:rsidR="00791FEE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modul</w:t>
                      </w:r>
                      <w:r w:rsidR="00791FEE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and then plan out the activities, materials, and assessments. The framework also provides</w:t>
                      </w:r>
                      <w:r w:rsidR="00772AED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spaces 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to connect the activities to student learning outcomes or objectives</w:t>
                      </w:r>
                      <w:r w:rsidR="0010330B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, to 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determine which delivery </w:t>
                      </w:r>
                      <w:r w:rsidR="00E920D4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option 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(F2F, </w:t>
                      </w:r>
                      <w:r w:rsidR="00B0047F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Zoom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, or OL) is most effective</w:t>
                      </w:r>
                      <w:r w:rsidR="00E920D4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for each part</w:t>
                      </w:r>
                      <w:r w:rsidR="0010330B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, and</w:t>
                      </w:r>
                      <w:r w:rsidR="00E920D4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to </w:t>
                      </w:r>
                      <w:r w:rsidR="000D28E2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not</w:t>
                      </w:r>
                      <w:r w:rsidR="0065461E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="000D28E2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how 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continuity</w:t>
                      </w:r>
                      <w:r w:rsidR="000D28E2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is achieved</w:t>
                      </w:r>
                      <w:r w:rsidRPr="0060529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between each of the</w:t>
                      </w:r>
                      <w:r w:rsidR="000D28E2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modalities. </w:t>
                      </w:r>
                    </w:p>
                  </w:txbxContent>
                </v:textbox>
              </v:shape>
            </w:pict>
          </mc:Fallback>
        </mc:AlternateContent>
      </w:r>
    </w:p>
    <w:p w14:paraId="29E0FE36" w14:textId="611BBCF6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0A3211C3" w14:textId="72EC314E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57A87C13" w14:textId="77777777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7EA875FF" w14:textId="77777777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2EF56CF2" w14:textId="77777777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66B215D5" w14:textId="77777777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667CDD6B" w14:textId="77777777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4B52F509" w14:textId="77777777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38870B14" w14:textId="77777777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124F4B15" w14:textId="77777777" w:rsidR="00DE48D4" w:rsidRDefault="00DE48D4" w:rsidP="0098335C">
      <w:pPr>
        <w:spacing w:line="240" w:lineRule="auto"/>
        <w:rPr>
          <w:rFonts w:ascii="Lato" w:hAnsi="Lato" w:cstheme="minorHAnsi"/>
          <w:sz w:val="20"/>
          <w:szCs w:val="20"/>
        </w:rPr>
      </w:pPr>
    </w:p>
    <w:p w14:paraId="36F1C7D0" w14:textId="1B49D1BF" w:rsidR="002045E9" w:rsidRPr="002045E9" w:rsidRDefault="002045E9" w:rsidP="00E41097">
      <w:pPr>
        <w:spacing w:line="240" w:lineRule="auto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GridTable1Light-Accent3"/>
        <w:tblpPr w:leftFromText="180" w:rightFromText="180" w:vertAnchor="text" w:horzAnchor="margin" w:tblpXSpec="center" w:tblpY="111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150"/>
        <w:gridCol w:w="2460"/>
        <w:gridCol w:w="1440"/>
        <w:gridCol w:w="2850"/>
        <w:gridCol w:w="3150"/>
      </w:tblGrid>
      <w:tr w:rsidR="0076760D" w:rsidRPr="001B59A4" w14:paraId="4B6EC875" w14:textId="77777777" w:rsidTr="003802FC">
        <w:trPr>
          <w:trHeight w:val="662"/>
        </w:trPr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8C1123" w14:textId="0AB88CA2" w:rsidR="0076760D" w:rsidRDefault="00D3629D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Course</w:t>
            </w:r>
            <w:r w:rsidR="003C782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Code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37A7582" w14:textId="04EFF489" w:rsidR="0076760D" w:rsidRPr="0063371D" w:rsidRDefault="003C782C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Course Title</w:t>
            </w:r>
          </w:p>
        </w:tc>
        <w:tc>
          <w:tcPr>
            <w:tcW w:w="990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3D82A2DA" w14:textId="346A6E23" w:rsidR="003802FC" w:rsidRDefault="00D3629D" w:rsidP="003764E4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Modality Da</w:t>
            </w:r>
            <w:r w:rsidR="008E2585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8E2585">
              <w:rPr>
                <w:rFonts w:ascii="Arial" w:hAnsi="Arial" w:cs="Arial"/>
                <w:b/>
                <w:bCs/>
              </w:rPr>
              <w:t>:</w:t>
            </w:r>
          </w:p>
          <w:p w14:paraId="5749F5FD" w14:textId="72EDCDB7" w:rsidR="0076760D" w:rsidRPr="0063371D" w:rsidRDefault="00A621C1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proofErr w:type="gramStart"/>
            <w:r w:rsidR="00D3629D" w:rsidRPr="00D3629D">
              <w:rPr>
                <w:rFonts w:ascii="Arial" w:hAnsi="Arial" w:cs="Arial"/>
                <w:sz w:val="20"/>
                <w:szCs w:val="20"/>
              </w:rPr>
              <w:t>( Example</w:t>
            </w:r>
            <w:proofErr w:type="gramEnd"/>
            <w:r w:rsidR="00D3629D" w:rsidRPr="00D362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629D" w:rsidRPr="00C33DB1">
              <w:rPr>
                <w:rFonts w:ascii="Arial" w:hAnsi="Arial" w:cs="Arial"/>
                <w:b/>
                <w:bCs/>
                <w:sz w:val="20"/>
                <w:szCs w:val="20"/>
              </w:rPr>
              <w:t>Mon.</w:t>
            </w:r>
            <w:r w:rsidR="00D3629D" w:rsidRPr="00D3629D">
              <w:rPr>
                <w:rFonts w:ascii="Arial" w:hAnsi="Arial" w:cs="Arial"/>
                <w:sz w:val="20"/>
                <w:szCs w:val="20"/>
              </w:rPr>
              <w:t xml:space="preserve"> F2F; </w:t>
            </w:r>
            <w:r w:rsidR="00D3629D" w:rsidRPr="00C33DB1">
              <w:rPr>
                <w:rFonts w:ascii="Arial" w:hAnsi="Arial" w:cs="Arial"/>
                <w:b/>
                <w:bCs/>
                <w:sz w:val="20"/>
                <w:szCs w:val="20"/>
              </w:rPr>
              <w:t>Wed.</w:t>
            </w:r>
            <w:r w:rsidR="00D3629D" w:rsidRPr="00D36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585">
              <w:rPr>
                <w:rFonts w:ascii="Arial" w:hAnsi="Arial" w:cs="Arial"/>
                <w:sz w:val="20"/>
                <w:szCs w:val="20"/>
              </w:rPr>
              <w:t>Zoom</w:t>
            </w:r>
            <w:r w:rsidR="00D3629D" w:rsidRPr="00D3629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3629D" w:rsidRPr="00C33DB1">
              <w:rPr>
                <w:rFonts w:ascii="Arial" w:hAnsi="Arial" w:cs="Arial"/>
                <w:b/>
                <w:bCs/>
                <w:sz w:val="20"/>
                <w:szCs w:val="20"/>
              </w:rPr>
              <w:t>Fri.</w:t>
            </w:r>
            <w:r w:rsidR="00D3629D" w:rsidRPr="00D3629D">
              <w:rPr>
                <w:rFonts w:ascii="Arial" w:hAnsi="Arial" w:cs="Arial"/>
                <w:sz w:val="20"/>
                <w:szCs w:val="20"/>
              </w:rPr>
              <w:t xml:space="preserve"> Online )</w:t>
            </w:r>
          </w:p>
        </w:tc>
      </w:tr>
      <w:tr w:rsidR="003802FC" w:rsidRPr="001B59A4" w14:paraId="7093FC63" w14:textId="77777777" w:rsidTr="006D0311">
        <w:trPr>
          <w:trHeight w:val="120"/>
        </w:trPr>
        <w:tc>
          <w:tcPr>
            <w:tcW w:w="14280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39CC6037" w14:textId="77777777" w:rsidR="003802FC" w:rsidRPr="003802FC" w:rsidRDefault="003802FC" w:rsidP="003764E4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5EE6" w:rsidRPr="001B59A4" w14:paraId="7D318BFD" w14:textId="77777777" w:rsidTr="000D5813">
        <w:trPr>
          <w:trHeight w:val="1377"/>
        </w:trPr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698767" w14:textId="6CC328EF" w:rsidR="003764E4" w:rsidRPr="001F5EE6" w:rsidRDefault="001977A4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Week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7C31A3" w14:textId="7F8F171A" w:rsidR="003764E4" w:rsidRPr="0063371D" w:rsidRDefault="003764E4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Outcome/Objective</w:t>
            </w:r>
          </w:p>
          <w:p w14:paraId="7F893565" w14:textId="77777777" w:rsidR="003764E4" w:rsidRPr="001F5EE6" w:rsidRDefault="003764E4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To which learning outcome or module objective can this activity be mapped?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25535" w14:textId="77777777" w:rsidR="003764E4" w:rsidRPr="0063371D" w:rsidRDefault="003764E4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Instructional/Learning Activities and Resources </w:t>
            </w:r>
          </w:p>
          <w:p w14:paraId="191BB34A" w14:textId="1910E746" w:rsidR="003764E4" w:rsidRPr="001F5EE6" w:rsidRDefault="003764E4" w:rsidP="003764E4">
            <w:pPr>
              <w:contextualSpacing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What instructional and/or learning activities </w:t>
            </w:r>
            <w:r w:rsidR="00B004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are planned</w:t>
            </w: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? </w:t>
            </w:r>
            <w:r w:rsidRPr="001F5EE6">
              <w:rPr>
                <w:rStyle w:val="Heading2Char"/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What resources will be shared?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B9D9F9" w14:textId="77777777" w:rsidR="003764E4" w:rsidRPr="0063371D" w:rsidRDefault="003764E4" w:rsidP="003764E4">
            <w:pPr>
              <w:widowControl w:val="0"/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Delivery Modality </w:t>
            </w:r>
          </w:p>
          <w:p w14:paraId="32EC1939" w14:textId="0EC308C0" w:rsidR="003764E4" w:rsidRPr="001F5EE6" w:rsidRDefault="003764E4" w:rsidP="003764E4">
            <w:pPr>
              <w:widowControl w:val="0"/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How will this activity be delivered (F2</w:t>
            </w:r>
            <w:proofErr w:type="gramStart"/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F, </w:t>
            </w:r>
            <w:r w:rsidR="00B004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Zoom</w:t>
            </w:r>
            <w:proofErr w:type="gramEnd"/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, or OL)?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906B89" w14:textId="49B8A66A" w:rsidR="003764E4" w:rsidRPr="0063371D" w:rsidRDefault="003764E4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Continuity</w:t>
            </w:r>
            <w:r w:rsidR="009537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&amp; Communication</w:t>
            </w:r>
            <w:r w:rsidRPr="0063371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D7A39B8" w14:textId="6AF58ABB" w:rsidR="003764E4" w:rsidRPr="001F5EE6" w:rsidRDefault="002B739B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How </w:t>
            </w:r>
            <w:r w:rsidR="0030559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will you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achieve</w:t>
            </w:r>
            <w:r w:rsidR="0030559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continuity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between the modalities</w:t>
            </w:r>
            <w:r w:rsidR="003764E4"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(F2</w:t>
            </w:r>
            <w:proofErr w:type="gramStart"/>
            <w:r w:rsidR="003764E4"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F, </w:t>
            </w:r>
            <w:r w:rsidR="00B004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Zoom</w:t>
            </w:r>
            <w:proofErr w:type="gramEnd"/>
            <w:r w:rsidR="003764E4"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, and</w:t>
            </w:r>
            <w:r w:rsidR="00B004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/or</w:t>
            </w:r>
            <w:r w:rsidR="003764E4"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OL)?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2504FE3E" w14:textId="77777777" w:rsidR="003764E4" w:rsidRPr="0063371D" w:rsidRDefault="003764E4" w:rsidP="003764E4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Assessment / Feedback </w:t>
            </w:r>
          </w:p>
          <w:p w14:paraId="4B9A656B" w14:textId="68D8176D" w:rsidR="003764E4" w:rsidRPr="001F5EE6" w:rsidRDefault="003764E4" w:rsidP="003764E4">
            <w:pPr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Will this activity include an assessment? If yes, how will it be assessed</w:t>
            </w:r>
            <w:r w:rsidR="00B004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and how will students receive feedback? </w:t>
            </w:r>
          </w:p>
        </w:tc>
      </w:tr>
      <w:tr w:rsidR="003764E4" w:rsidRPr="001B59A4" w14:paraId="5BB6FE74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D46C1B" w14:textId="776F0E24" w:rsidR="003764E4" w:rsidRPr="00683225" w:rsidRDefault="00183A33" w:rsidP="00C6591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444A1C" w14:textId="30E1A0B1" w:rsidR="003764E4" w:rsidRPr="00744BBB" w:rsidRDefault="003764E4" w:rsidP="00C6591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35F9FD" w14:textId="77777777" w:rsidR="003764E4" w:rsidRDefault="0083090D" w:rsidP="00C6591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a.</w:t>
            </w:r>
          </w:p>
          <w:p w14:paraId="2E3303B4" w14:textId="77777777" w:rsidR="0083090D" w:rsidRDefault="0083090D" w:rsidP="00C6591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b.</w:t>
            </w:r>
          </w:p>
          <w:p w14:paraId="18DD2B61" w14:textId="09AB9E95" w:rsidR="0083090D" w:rsidRPr="00744BBB" w:rsidRDefault="0083090D" w:rsidP="00C6591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EB02E" w14:textId="3EBB6DF1" w:rsidR="003764E4" w:rsidRPr="00744BBB" w:rsidRDefault="003764E4" w:rsidP="00C6591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C968A" w14:textId="690B6BFF" w:rsidR="003764E4" w:rsidRPr="00744BBB" w:rsidRDefault="003764E4" w:rsidP="00C6591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927ECE0" w14:textId="057B3367" w:rsidR="003764E4" w:rsidRPr="00744BBB" w:rsidRDefault="003764E4" w:rsidP="00C6591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4E4" w:rsidRPr="001B59A4" w14:paraId="7F015161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FC3B87" w14:textId="7A7E659F" w:rsidR="003764E4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847559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969FDD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7FB488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3D97AD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AF0B29E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4E4" w:rsidRPr="001B59A4" w14:paraId="70D904CC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E03F7E" w14:textId="5E0D905A" w:rsidR="003764E4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F08BF5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5FEE8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81005F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F7FA2D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C457CFE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4E4" w:rsidRPr="001B59A4" w14:paraId="67B09876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A5ED96" w14:textId="4967B5D2" w:rsidR="003764E4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9873ED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41C2C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D98BFE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DC581B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E2CCC91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4E4" w:rsidRPr="001B59A4" w14:paraId="5B4AC857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1974F9" w14:textId="2AB70D0F" w:rsidR="003764E4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A92D7B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283ED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CBF670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B9EA46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45D5321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4E4" w:rsidRPr="001B59A4" w14:paraId="4DBFD064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06ECB3" w14:textId="32C9EBAE" w:rsidR="003764E4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B34E1D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8AC7D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8E1E37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9DF8C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571E736" w14:textId="77777777" w:rsidR="003764E4" w:rsidRPr="00744BBB" w:rsidRDefault="003764E4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A33" w:rsidRPr="001B59A4" w14:paraId="56C790F6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5B0C46" w14:textId="07632FBB" w:rsidR="00183A33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F2D523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E7755B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8E1580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DBA97D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B020005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A33" w:rsidRPr="001B59A4" w14:paraId="40AB6CCE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F30B1F" w14:textId="032AD149" w:rsidR="00183A33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FE8EF6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BF4004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07D2B0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2A7FE1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178C1B0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A33" w:rsidRPr="001B59A4" w14:paraId="603D82A5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E6AF00" w14:textId="1CAB816A" w:rsidR="00183A33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D456BD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104BEE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3DB6F0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FE7FD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7937D60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A33" w:rsidRPr="001B59A4" w14:paraId="0AFDAA15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2A5F77" w14:textId="368C2150" w:rsidR="00183A33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9D4028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B315E6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5BEA74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E2C12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72D96C3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A33" w:rsidRPr="001B59A4" w14:paraId="23C34D1E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35E840" w14:textId="09734112" w:rsidR="00183A33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1B8C94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D05DA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627E0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34B89B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19B095F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A33" w:rsidRPr="001B59A4" w14:paraId="70E833AB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B18E64" w14:textId="387B76B0" w:rsidR="00183A33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B07FB9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0BD8B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142F2C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62953B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003E801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A33" w:rsidRPr="001B59A4" w14:paraId="07535C51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C57AA2" w14:textId="54529A70" w:rsidR="00183A33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FE68BA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04732D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C34364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FD1618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7454421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A33" w:rsidRPr="001B59A4" w14:paraId="20C558A7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121BDC" w14:textId="27A5F799" w:rsidR="00183A33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C391C6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BC4461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9802FF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B7CE99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47D94E1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A33" w:rsidRPr="001B59A4" w14:paraId="0906BE02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65915D" w14:textId="2CD527CB" w:rsidR="00183A33" w:rsidRPr="00683225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8681F1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33B645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E445FD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5DDB58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6BB4900A" w14:textId="77777777" w:rsidR="00183A33" w:rsidRPr="00744BBB" w:rsidRDefault="00183A33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83225" w:rsidRPr="001B59A4" w14:paraId="239FA46A" w14:textId="77777777" w:rsidTr="000D5813">
        <w:trPr>
          <w:trHeight w:val="679"/>
        </w:trPr>
        <w:tc>
          <w:tcPr>
            <w:tcW w:w="1230" w:type="dxa"/>
            <w:tcBorders>
              <w:top w:val="single" w:sz="8" w:space="0" w:color="auto"/>
              <w:right w:val="single" w:sz="4" w:space="0" w:color="auto"/>
            </w:tcBorders>
          </w:tcPr>
          <w:p w14:paraId="6E391B6B" w14:textId="687F5C45" w:rsidR="00683225" w:rsidRPr="00683225" w:rsidRDefault="00683225" w:rsidP="009C1FC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22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FDDD335" w14:textId="77777777" w:rsidR="00683225" w:rsidRPr="00744BBB" w:rsidRDefault="00683225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BFC4B22" w14:textId="77777777" w:rsidR="00683225" w:rsidRPr="00744BBB" w:rsidRDefault="00683225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8DB17A4" w14:textId="77777777" w:rsidR="00683225" w:rsidRPr="00744BBB" w:rsidRDefault="00683225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826C293" w14:textId="77777777" w:rsidR="00683225" w:rsidRPr="00744BBB" w:rsidRDefault="00683225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</w:tcBorders>
          </w:tcPr>
          <w:p w14:paraId="12034CA2" w14:textId="77777777" w:rsidR="00683225" w:rsidRPr="00744BBB" w:rsidRDefault="00683225" w:rsidP="009C1FC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2D55426" w14:textId="77777777" w:rsidR="00FE00BB" w:rsidRDefault="00FE00BB" w:rsidP="009D20B9">
      <w:pPr>
        <w:rPr>
          <w:rFonts w:ascii="Lato" w:hAnsi="Lato" w:cstheme="minorHAnsi"/>
        </w:rPr>
      </w:pPr>
    </w:p>
    <w:p w14:paraId="7CCAD11E" w14:textId="16C38160" w:rsidR="00401172" w:rsidRDefault="005642AB" w:rsidP="00027376">
      <w:pPr>
        <w:spacing w:before="120" w:line="240" w:lineRule="auto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</w:pPr>
      <w:r w:rsidRPr="002045E9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Hybrid Course Development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Planning </w:t>
      </w:r>
      <w:r w:rsidR="00EA4F4D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Ex</w:t>
      </w:r>
      <w:r w:rsidRPr="005642AB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ample</w:t>
      </w:r>
    </w:p>
    <w:tbl>
      <w:tblPr>
        <w:tblStyle w:val="GridTable1Light-Accent3"/>
        <w:tblpPr w:leftFromText="180" w:rightFromText="180" w:vertAnchor="text" w:horzAnchor="margin" w:tblpXSpec="center" w:tblpY="111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150"/>
        <w:gridCol w:w="2460"/>
        <w:gridCol w:w="1440"/>
        <w:gridCol w:w="2850"/>
        <w:gridCol w:w="3150"/>
      </w:tblGrid>
      <w:tr w:rsidR="00E04227" w:rsidRPr="0063371D" w14:paraId="01647589" w14:textId="77777777" w:rsidTr="006624D1">
        <w:trPr>
          <w:trHeight w:val="662"/>
        </w:trPr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1F7ED"/>
          </w:tcPr>
          <w:p w14:paraId="60FA2B1A" w14:textId="77777777" w:rsidR="00E04227" w:rsidRDefault="00E04227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Course</w:t>
            </w:r>
          </w:p>
          <w:p w14:paraId="6E265309" w14:textId="37CA7FC2" w:rsidR="00E75FE6" w:rsidRPr="00E75FE6" w:rsidRDefault="00E75FE6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ENG XXX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F7ED"/>
          </w:tcPr>
          <w:p w14:paraId="0C23ADD7" w14:textId="30733281" w:rsidR="00E04227" w:rsidRDefault="00E75FE6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Course Title:</w:t>
            </w:r>
          </w:p>
          <w:p w14:paraId="4F4C8292" w14:textId="5D15DE1A" w:rsidR="009529CE" w:rsidRPr="003E7ECC" w:rsidRDefault="009529CE" w:rsidP="0029125E">
            <w:pPr>
              <w:contextualSpacing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3E7ECC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>Scholarly Writing</w:t>
            </w:r>
          </w:p>
        </w:tc>
        <w:tc>
          <w:tcPr>
            <w:tcW w:w="9900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1F7ED"/>
          </w:tcPr>
          <w:p w14:paraId="4539F015" w14:textId="77777777" w:rsidR="00E04227" w:rsidRDefault="00E04227" w:rsidP="0029125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Modality Days:</w:t>
            </w:r>
          </w:p>
          <w:p w14:paraId="5ABC35B0" w14:textId="4082826F" w:rsidR="00E04227" w:rsidRPr="0063371D" w:rsidRDefault="003E7ECC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="00E04227" w:rsidRPr="00C33DB1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  <w:r w:rsidR="009C1FC7">
              <w:rPr>
                <w:rFonts w:ascii="Arial" w:hAnsi="Arial" w:cs="Arial"/>
                <w:b/>
                <w:bCs/>
                <w:sz w:val="20"/>
                <w:szCs w:val="20"/>
              </w:rPr>
              <w:t>days:</w:t>
            </w:r>
            <w:r w:rsidR="00E04227" w:rsidRPr="00D3629D">
              <w:rPr>
                <w:rFonts w:ascii="Arial" w:hAnsi="Arial" w:cs="Arial"/>
                <w:sz w:val="20"/>
                <w:szCs w:val="20"/>
              </w:rPr>
              <w:t xml:space="preserve"> F2</w:t>
            </w:r>
            <w:proofErr w:type="gramStart"/>
            <w:r w:rsidR="00E04227" w:rsidRPr="00D3629D">
              <w:rPr>
                <w:rFonts w:ascii="Arial" w:hAnsi="Arial" w:cs="Arial"/>
                <w:sz w:val="20"/>
                <w:szCs w:val="20"/>
              </w:rPr>
              <w:t xml:space="preserve">F;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04227" w:rsidRPr="00C33DB1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  <w:r w:rsidR="00264A07">
              <w:rPr>
                <w:rFonts w:ascii="Arial" w:hAnsi="Arial" w:cs="Arial"/>
                <w:b/>
                <w:bCs/>
                <w:sz w:val="20"/>
                <w:szCs w:val="20"/>
              </w:rPr>
              <w:t>nesdays:</w:t>
            </w:r>
            <w:r w:rsidR="00E04227" w:rsidRPr="00D36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227">
              <w:rPr>
                <w:rFonts w:ascii="Arial" w:hAnsi="Arial" w:cs="Arial"/>
                <w:sz w:val="20"/>
                <w:szCs w:val="20"/>
              </w:rPr>
              <w:t>Video Conf/Zoom</w:t>
            </w:r>
            <w:r w:rsidR="00E04227" w:rsidRPr="00D3629D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04227" w:rsidRPr="00C33DB1"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  <w:r w:rsidR="00264A07">
              <w:rPr>
                <w:rFonts w:ascii="Arial" w:hAnsi="Arial" w:cs="Arial"/>
                <w:b/>
                <w:bCs/>
                <w:sz w:val="20"/>
                <w:szCs w:val="20"/>
              </w:rPr>
              <w:t>days:</w:t>
            </w:r>
            <w:r w:rsidR="00E04227" w:rsidRPr="00D3629D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</w:tr>
      <w:tr w:rsidR="00E04227" w:rsidRPr="003802FC" w14:paraId="7295E9C6" w14:textId="77777777" w:rsidTr="0029125E">
        <w:trPr>
          <w:trHeight w:val="120"/>
        </w:trPr>
        <w:tc>
          <w:tcPr>
            <w:tcW w:w="14280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05FDBF06" w14:textId="77777777" w:rsidR="00E04227" w:rsidRPr="003802FC" w:rsidRDefault="00E04227" w:rsidP="0029125E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4227" w:rsidRPr="001F5EE6" w14:paraId="7C00EB73" w14:textId="77777777" w:rsidTr="006624D1">
        <w:trPr>
          <w:trHeight w:val="1377"/>
        </w:trPr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2F8EE"/>
          </w:tcPr>
          <w:p w14:paraId="7C3636C9" w14:textId="77777777" w:rsidR="00E04227" w:rsidRPr="001F5EE6" w:rsidRDefault="00E04227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Week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8EE"/>
          </w:tcPr>
          <w:p w14:paraId="46E0C683" w14:textId="77777777" w:rsidR="00E04227" w:rsidRPr="0063371D" w:rsidRDefault="00E04227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Outcome/Objective Mapping </w:t>
            </w:r>
          </w:p>
          <w:p w14:paraId="382C756B" w14:textId="77777777" w:rsidR="00E04227" w:rsidRPr="001F5EE6" w:rsidRDefault="00E04227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To which learning outcome or module objective can this activity be mapped?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8EE"/>
          </w:tcPr>
          <w:p w14:paraId="1CA15DF1" w14:textId="77777777" w:rsidR="00E04227" w:rsidRPr="0063371D" w:rsidRDefault="00E04227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Instructional/Learning Activities and Resources </w:t>
            </w:r>
          </w:p>
          <w:p w14:paraId="759DB8BF" w14:textId="77777777" w:rsidR="00E04227" w:rsidRPr="001F5EE6" w:rsidRDefault="00E04227" w:rsidP="0029125E">
            <w:pPr>
              <w:contextualSpacing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What instructional and/or learning activities will be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used</w:t>
            </w: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? </w:t>
            </w:r>
            <w:r w:rsidRPr="001F5EE6">
              <w:rPr>
                <w:rStyle w:val="Heading2Char"/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What resources will need to be shared?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8EE"/>
          </w:tcPr>
          <w:p w14:paraId="3EC55B31" w14:textId="77777777" w:rsidR="00E04227" w:rsidRPr="0063371D" w:rsidRDefault="00E04227" w:rsidP="0029125E">
            <w:pPr>
              <w:widowControl w:val="0"/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Delivery Modality </w:t>
            </w:r>
          </w:p>
          <w:p w14:paraId="34483E8B" w14:textId="3676FDCB" w:rsidR="00E04227" w:rsidRPr="001F5EE6" w:rsidRDefault="00E04227" w:rsidP="0029125E">
            <w:pPr>
              <w:widowControl w:val="0"/>
              <w:autoSpaceDE w:val="0"/>
              <w:autoSpaceDN w:val="0"/>
              <w:adjustRightInd w:val="0"/>
              <w:spacing w:before="200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How will this activity be delivered (F2</w:t>
            </w:r>
            <w:proofErr w:type="gramStart"/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F, </w:t>
            </w:r>
            <w:r w:rsidR="00B004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Zoom</w:t>
            </w:r>
            <w:proofErr w:type="gramEnd"/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, or OL)?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8EE"/>
          </w:tcPr>
          <w:p w14:paraId="529428DF" w14:textId="77777777" w:rsidR="00E04227" w:rsidRPr="0063371D" w:rsidRDefault="00E04227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Continuity </w:t>
            </w:r>
          </w:p>
          <w:p w14:paraId="18F0CCB4" w14:textId="1EFEB96C" w:rsidR="00E04227" w:rsidRPr="001F5EE6" w:rsidRDefault="00E04227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How will you achieve continuity between the modalities</w:t>
            </w: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(F2F, </w:t>
            </w:r>
            <w:r w:rsidR="00B004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Zoom</w:t>
            </w: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, and OL)?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8EE"/>
          </w:tcPr>
          <w:p w14:paraId="68E9D920" w14:textId="77777777" w:rsidR="00E04227" w:rsidRPr="0063371D" w:rsidRDefault="00E04227" w:rsidP="0029125E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6337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Assessment / Feedback </w:t>
            </w:r>
          </w:p>
          <w:p w14:paraId="6E3B8241" w14:textId="77777777" w:rsidR="00E04227" w:rsidRPr="001F5EE6" w:rsidRDefault="00E04227" w:rsidP="0029125E">
            <w:pPr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1F5E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Will this activity include an assessment? If yes, how will it be assessed and how will students receive feedback? </w:t>
            </w:r>
          </w:p>
        </w:tc>
      </w:tr>
      <w:tr w:rsidR="0028526A" w:rsidRPr="00744BBB" w14:paraId="38951BCE" w14:textId="77777777" w:rsidTr="0029125E">
        <w:trPr>
          <w:trHeight w:val="679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559416" w14:textId="4EF4A9BC" w:rsidR="0028526A" w:rsidRPr="00683225" w:rsidRDefault="00B0047F" w:rsidP="0028526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1EB1BC" w14:textId="77777777" w:rsidR="008322AE" w:rsidRDefault="008322AE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</w:pPr>
          </w:p>
          <w:p w14:paraId="78A13C61" w14:textId="5BB0FCAD" w:rsidR="0028526A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</w:pPr>
            <w:r w:rsidRPr="007F6B1D"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  <w:t>Example:</w:t>
            </w:r>
            <w:r w:rsidRPr="00CC5E94"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  <w:t xml:space="preserve"> </w:t>
            </w:r>
          </w:p>
          <w:p w14:paraId="2FDA5071" w14:textId="77777777" w:rsidR="00271BE4" w:rsidRDefault="00271BE4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</w:pPr>
          </w:p>
          <w:p w14:paraId="5C964B40" w14:textId="77777777" w:rsidR="0028526A" w:rsidRPr="007B229B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62B8F">
              <w:rPr>
                <w:rFonts w:ascii="Arial" w:hAnsi="Arial" w:cs="Arial"/>
                <w:bCs/>
                <w:sz w:val="18"/>
                <w:szCs w:val="18"/>
              </w:rPr>
              <w:t>Module objective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Students will interact with scholarly texts in preparation for the creation of annotated bibliographies. </w:t>
            </w:r>
          </w:p>
          <w:p w14:paraId="0CD1B364" w14:textId="77777777" w:rsidR="0028526A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1EECD4" w14:textId="63DBAE56" w:rsidR="0028526A" w:rsidRPr="00744BBB" w:rsidRDefault="0028526A" w:rsidP="002852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962B8F">
              <w:rPr>
                <w:rFonts w:ascii="Arial" w:hAnsi="Arial" w:cs="Arial"/>
                <w:bCs/>
                <w:sz w:val="18"/>
                <w:szCs w:val="18"/>
              </w:rPr>
              <w:t>Learning outcome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Students will demonstrate competence in research and documentation. 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63FA3A" w14:textId="77777777" w:rsidR="008322AE" w:rsidRDefault="008322AE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</w:pPr>
          </w:p>
          <w:p w14:paraId="2FEA6CF9" w14:textId="1AAFE6A1" w:rsidR="0028526A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</w:pPr>
            <w:r w:rsidRPr="007F6B1D"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  <w:t>Example:</w:t>
            </w:r>
            <w:r w:rsidRPr="00CC5E94"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  <w:t xml:space="preserve"> </w:t>
            </w:r>
          </w:p>
          <w:p w14:paraId="692F6E8D" w14:textId="77777777" w:rsidR="00271BE4" w:rsidRDefault="00271BE4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</w:pPr>
          </w:p>
          <w:p w14:paraId="4F6356B6" w14:textId="77777777" w:rsidR="0028526A" w:rsidRDefault="0028526A" w:rsidP="0028526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Review Assignment Criteria and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rubric;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1025E2F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3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 a class, explore the SLU library databases and ways to locate scholarly articles</w:t>
            </w:r>
          </w:p>
          <w:p w14:paraId="42E3F14A" w14:textId="77777777" w:rsidR="0028526A" w:rsidRDefault="0028526A" w:rsidP="0028526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Introduce annotation methods and review a sample annotated paper in small groups/breakout rooms.</w:t>
            </w:r>
          </w:p>
          <w:p w14:paraId="3DAC70E9" w14:textId="3E1253D3" w:rsidR="0028526A" w:rsidRDefault="0028526A" w:rsidP="0028526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6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0A0A7C">
              <w:rPr>
                <w:rFonts w:ascii="Arial" w:hAnsi="Arial" w:cs="Arial"/>
                <w:bCs/>
                <w:sz w:val="18"/>
                <w:szCs w:val="18"/>
              </w:rPr>
              <w:t xml:space="preserve">Students will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review class resources in D2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L;  </w:t>
            </w:r>
            <w:r w:rsidR="000217D9">
              <w:rPr>
                <w:rFonts w:ascii="Arial" w:hAnsi="Arial" w:cs="Arial"/>
                <w:bCs/>
                <w:sz w:val="18"/>
                <w:szCs w:val="18"/>
              </w:rPr>
              <w:t>Students</w:t>
            </w:r>
            <w:proofErr w:type="gramEnd"/>
            <w:r w:rsidR="000217D9">
              <w:rPr>
                <w:rFonts w:ascii="Arial" w:hAnsi="Arial" w:cs="Arial"/>
                <w:bCs/>
                <w:sz w:val="18"/>
                <w:szCs w:val="18"/>
              </w:rPr>
              <w:t xml:space="preserve"> will r</w:t>
            </w:r>
            <w:r w:rsidR="0086270E">
              <w:rPr>
                <w:rFonts w:ascii="Arial" w:hAnsi="Arial" w:cs="Arial"/>
                <w:bCs/>
                <w:sz w:val="18"/>
                <w:szCs w:val="18"/>
              </w:rPr>
              <w:t xml:space="preserve">esearch, select, and </w:t>
            </w:r>
            <w:r w:rsidRPr="000A0A7C">
              <w:rPr>
                <w:rFonts w:ascii="Arial" w:hAnsi="Arial" w:cs="Arial"/>
                <w:bCs/>
                <w:sz w:val="18"/>
                <w:szCs w:val="18"/>
              </w:rPr>
              <w:t>annotate a scholarly article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submit it to D2L.  </w:t>
            </w:r>
          </w:p>
          <w:p w14:paraId="1B7469FF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3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F1BCDF" w14:textId="3416BA69" w:rsidR="0028526A" w:rsidRPr="00744BBB" w:rsidRDefault="0028526A" w:rsidP="008322AE">
            <w:pPr>
              <w:pStyle w:val="ListParagraph"/>
              <w:widowControl w:val="0"/>
              <w:autoSpaceDE w:val="0"/>
              <w:autoSpaceDN w:val="0"/>
              <w:adjustRightInd w:val="0"/>
              <w:ind w:left="236"/>
              <w:rPr>
                <w:rFonts w:ascii="Arial" w:hAnsi="Arial" w:cs="Arial"/>
                <w:bCs/>
                <w:sz w:val="18"/>
                <w:szCs w:val="18"/>
              </w:rPr>
            </w:pPr>
            <w:r w:rsidRPr="000A0A7C">
              <w:rPr>
                <w:rFonts w:ascii="Arial" w:hAnsi="Arial" w:cs="Arial"/>
                <w:bCs/>
                <w:sz w:val="18"/>
                <w:szCs w:val="18"/>
              </w:rPr>
              <w:t>Resources needed: Sample annotated article, PowerPoint on annotation methods, article to be annotated, and rubric.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554EE6" w14:textId="77777777" w:rsidR="008322AE" w:rsidRDefault="008322AE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</w:pPr>
          </w:p>
          <w:p w14:paraId="6445A58A" w14:textId="6585E7EE" w:rsidR="0028526A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</w:pPr>
            <w:r w:rsidRPr="007F6B1D"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  <w:t>Example:</w:t>
            </w:r>
          </w:p>
          <w:p w14:paraId="5D1F73F2" w14:textId="77777777" w:rsidR="00271BE4" w:rsidRPr="00CC5E94" w:rsidRDefault="00271BE4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44546A" w:themeColor="text2"/>
                <w:sz w:val="18"/>
                <w:szCs w:val="18"/>
              </w:rPr>
            </w:pPr>
          </w:p>
          <w:p w14:paraId="5EEC85A2" w14:textId="77777777" w:rsidR="0028526A" w:rsidRDefault="0028526A" w:rsidP="002852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F2F</w:t>
            </w:r>
          </w:p>
          <w:p w14:paraId="32CF8446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1244E6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EA12BA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DD6E59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DEFAB7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4502AB" w14:textId="201EDE2F" w:rsidR="0028526A" w:rsidRDefault="0028526A" w:rsidP="002852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Zoom</w:t>
            </w:r>
          </w:p>
          <w:p w14:paraId="078418D7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B9A4DA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F63A99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330613" w14:textId="77777777" w:rsidR="0028526A" w:rsidRDefault="0028526A" w:rsidP="0028526A">
            <w:pPr>
              <w:pStyle w:val="ListParagraph"/>
              <w:widowControl w:val="0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E78F5B" w14:textId="1759FBCB" w:rsidR="0028526A" w:rsidRPr="007B0F85" w:rsidRDefault="0028526A" w:rsidP="007B0F8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ind w:left="224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7B0F85">
              <w:rPr>
                <w:rFonts w:ascii="Arial" w:hAnsi="Arial" w:cs="Arial"/>
                <w:bCs/>
                <w:sz w:val="18"/>
                <w:szCs w:val="18"/>
              </w:rPr>
              <w:t xml:space="preserve">OL 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EE4A5C" w14:textId="77777777" w:rsidR="008322AE" w:rsidRDefault="008322AE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</w:pPr>
          </w:p>
          <w:p w14:paraId="3DCB6574" w14:textId="20304D61" w:rsidR="0028526A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</w:pPr>
            <w:r w:rsidRPr="007F6B1D"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  <w:t>Example:</w:t>
            </w:r>
            <w:r w:rsidRPr="00CC5E94"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  <w:t xml:space="preserve"> </w:t>
            </w:r>
          </w:p>
          <w:p w14:paraId="781555B5" w14:textId="77777777" w:rsidR="00271BE4" w:rsidRDefault="00271BE4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</w:pPr>
          </w:p>
          <w:p w14:paraId="3EFFDD52" w14:textId="77777777" w:rsidR="0028526A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focus of the entire week is learning how to annotate scholarly articles.   </w:t>
            </w:r>
          </w:p>
          <w:p w14:paraId="78DA65E2" w14:textId="2F7E84B7" w:rsidR="0028526A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Day 1 (F2F) students will be introduced to the concept of annotating scholarly articles, in preparation for Day 2 (</w:t>
            </w:r>
            <w:r w:rsidR="00B004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Zoom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), when they will </w:t>
            </w:r>
            <w:r w:rsidRPr="00744BBB">
              <w:rPr>
                <w:rFonts w:ascii="Arial" w:hAnsi="Arial" w:cs="Arial"/>
                <w:bCs/>
                <w:sz w:val="18"/>
                <w:szCs w:val="18"/>
              </w:rPr>
              <w:t xml:space="preserve">review a sample annotated paper in small groups/breakout rooms.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Days 1 &amp; 2 build skills to complete the final task of annotating </w:t>
            </w:r>
            <w:r w:rsidRPr="00744BBB">
              <w:rPr>
                <w:rFonts w:ascii="Arial" w:hAnsi="Arial" w:cs="Arial"/>
                <w:bCs/>
                <w:sz w:val="18"/>
                <w:szCs w:val="18"/>
              </w:rPr>
              <w:t>a scholarly article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D8379CC" w14:textId="77777777" w:rsidR="0028526A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E47A1F" w14:textId="3DC85F9A" w:rsidR="0028526A" w:rsidRDefault="0028526A" w:rsidP="00285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An outline of the week will be provided in D2L on the </w:t>
            </w:r>
            <w:r w:rsidR="009431D6" w:rsidRPr="009431D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</w:t>
            </w:r>
            <w:r w:rsidRPr="009431D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nnouncements/</w:t>
            </w:r>
            <w:r w:rsidR="009431D6" w:rsidRPr="009431D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</w:t>
            </w:r>
            <w:r w:rsidRPr="009431D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ew</w:t>
            </w:r>
            <w:r w:rsidR="009431D6" w:rsidRPr="009431D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page at the beginning of the week.</w:t>
            </w:r>
            <w:r w:rsidR="007F14B9">
              <w:rPr>
                <w:rFonts w:ascii="Arial" w:hAnsi="Arial" w:cs="Arial"/>
                <w:bCs/>
                <w:sz w:val="18"/>
                <w:szCs w:val="18"/>
              </w:rPr>
              <w:t xml:space="preserve"> On Day 3 (OL), students will be reminded </w:t>
            </w:r>
            <w:r w:rsidR="002150E7">
              <w:rPr>
                <w:rFonts w:ascii="Arial" w:hAnsi="Arial" w:cs="Arial"/>
                <w:bCs/>
                <w:sz w:val="18"/>
                <w:szCs w:val="18"/>
              </w:rPr>
              <w:t xml:space="preserve">via Announcements </w:t>
            </w:r>
            <w:r w:rsidR="007272B1">
              <w:rPr>
                <w:rFonts w:ascii="Arial" w:hAnsi="Arial" w:cs="Arial"/>
                <w:bCs/>
                <w:sz w:val="18"/>
                <w:szCs w:val="18"/>
              </w:rPr>
              <w:t>of the task and due date.</w:t>
            </w:r>
          </w:p>
          <w:p w14:paraId="11734F75" w14:textId="77777777" w:rsidR="0028526A" w:rsidRPr="00744BBB" w:rsidRDefault="0028526A" w:rsidP="002852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59FC757" w14:textId="77777777" w:rsidR="008322AE" w:rsidRDefault="0028526A" w:rsidP="002852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</w:pPr>
            <w:r w:rsidRPr="007F6B1D"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</w:rPr>
              <w:t>Example:</w:t>
            </w:r>
            <w:r w:rsidRPr="00CC5E94">
              <w:rPr>
                <w:rFonts w:ascii="Arial" w:hAnsi="Arial" w:cs="Arial"/>
                <w:bCs/>
                <w:color w:val="44546A" w:themeColor="text2"/>
                <w:sz w:val="18"/>
                <w:szCs w:val="18"/>
              </w:rPr>
              <w:t xml:space="preserve">  </w:t>
            </w:r>
          </w:p>
          <w:p w14:paraId="0FBBF43A" w14:textId="7859A92C" w:rsidR="0028526A" w:rsidRPr="00744BBB" w:rsidRDefault="0028526A" w:rsidP="002852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744BBB">
              <w:rPr>
                <w:rFonts w:ascii="Arial" w:hAnsi="Arial" w:cs="Arial"/>
                <w:bCs/>
                <w:sz w:val="18"/>
                <w:szCs w:val="18"/>
              </w:rPr>
              <w:t>Yes, annotated articles will be submitted to D2L. Feedback will be given through the mark-up tools in D2L; papers will be evaluated using the rubric</w:t>
            </w:r>
            <w:r w:rsidR="00287BB7">
              <w:rPr>
                <w:rFonts w:ascii="Arial" w:hAnsi="Arial" w:cs="Arial"/>
                <w:bCs/>
                <w:sz w:val="18"/>
                <w:szCs w:val="18"/>
              </w:rPr>
              <w:t xml:space="preserve"> in D2L</w:t>
            </w:r>
            <w:r w:rsidRPr="00744BBB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6546F4B3" w14:textId="77777777" w:rsidR="00E04227" w:rsidRPr="00FE00BB" w:rsidRDefault="00E04227" w:rsidP="00027376">
      <w:pPr>
        <w:spacing w:before="12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</w:p>
    <w:p w14:paraId="3E9BDF1A" w14:textId="77777777" w:rsidR="00401172" w:rsidRPr="0027795A" w:rsidRDefault="00401172" w:rsidP="000B4C60">
      <w:pPr>
        <w:rPr>
          <w:rFonts w:ascii="Lato" w:hAnsi="Lato" w:cstheme="minorHAnsi"/>
        </w:rPr>
      </w:pPr>
    </w:p>
    <w:sectPr w:rsidR="00401172" w:rsidRPr="0027795A" w:rsidSect="00BC35C3"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C2DD" w14:textId="77777777" w:rsidR="00D70455" w:rsidRDefault="00D70455" w:rsidP="0063371D">
      <w:pPr>
        <w:spacing w:line="240" w:lineRule="auto"/>
      </w:pPr>
      <w:r>
        <w:separator/>
      </w:r>
    </w:p>
  </w:endnote>
  <w:endnote w:type="continuationSeparator" w:id="0">
    <w:p w14:paraId="39F9DEF3" w14:textId="77777777" w:rsidR="00D70455" w:rsidRDefault="00D70455" w:rsidP="0063371D">
      <w:pPr>
        <w:spacing w:line="240" w:lineRule="auto"/>
      </w:pPr>
      <w:r>
        <w:continuationSeparator/>
      </w:r>
    </w:p>
  </w:endnote>
  <w:endnote w:type="continuationNotice" w:id="1">
    <w:p w14:paraId="691C357C" w14:textId="77777777" w:rsidR="00D70455" w:rsidRDefault="00D704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0226" w14:textId="77777777" w:rsidR="00D70455" w:rsidRDefault="00D70455" w:rsidP="0063371D">
      <w:pPr>
        <w:spacing w:line="240" w:lineRule="auto"/>
      </w:pPr>
      <w:r>
        <w:separator/>
      </w:r>
    </w:p>
  </w:footnote>
  <w:footnote w:type="continuationSeparator" w:id="0">
    <w:p w14:paraId="3A9F3E5A" w14:textId="77777777" w:rsidR="00D70455" w:rsidRDefault="00D70455" w:rsidP="0063371D">
      <w:pPr>
        <w:spacing w:line="240" w:lineRule="auto"/>
      </w:pPr>
      <w:r>
        <w:continuationSeparator/>
      </w:r>
    </w:p>
  </w:footnote>
  <w:footnote w:type="continuationNotice" w:id="1">
    <w:p w14:paraId="3569CF45" w14:textId="77777777" w:rsidR="00D70455" w:rsidRDefault="00D7045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367"/>
    <w:multiLevelType w:val="hybridMultilevel"/>
    <w:tmpl w:val="1CFA0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10A1"/>
    <w:multiLevelType w:val="hybridMultilevel"/>
    <w:tmpl w:val="51FC9EF4"/>
    <w:lvl w:ilvl="0" w:tplc="91B655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MzcyMDU0sLC0NLBQ0lEKTi0uzszPAykwrQUAooWHiCwAAAA="/>
  </w:docVars>
  <w:rsids>
    <w:rsidRoot w:val="00410A21"/>
    <w:rsid w:val="00001410"/>
    <w:rsid w:val="000118A9"/>
    <w:rsid w:val="0001544F"/>
    <w:rsid w:val="000217D9"/>
    <w:rsid w:val="000268BC"/>
    <w:rsid w:val="00027376"/>
    <w:rsid w:val="00030ACD"/>
    <w:rsid w:val="00035B94"/>
    <w:rsid w:val="0003746D"/>
    <w:rsid w:val="000635DF"/>
    <w:rsid w:val="00064FA9"/>
    <w:rsid w:val="000A0A7C"/>
    <w:rsid w:val="000A2B55"/>
    <w:rsid w:val="000B4C60"/>
    <w:rsid w:val="000C76D2"/>
    <w:rsid w:val="000C7A9D"/>
    <w:rsid w:val="000D28E2"/>
    <w:rsid w:val="000D5813"/>
    <w:rsid w:val="000F1FE5"/>
    <w:rsid w:val="000F7197"/>
    <w:rsid w:val="0010330B"/>
    <w:rsid w:val="00112DC7"/>
    <w:rsid w:val="0013259F"/>
    <w:rsid w:val="00133CEE"/>
    <w:rsid w:val="00143BBA"/>
    <w:rsid w:val="00147485"/>
    <w:rsid w:val="0016133F"/>
    <w:rsid w:val="00183A33"/>
    <w:rsid w:val="001977A4"/>
    <w:rsid w:val="001B43FF"/>
    <w:rsid w:val="001B59A4"/>
    <w:rsid w:val="001B7138"/>
    <w:rsid w:val="001C68E8"/>
    <w:rsid w:val="001D3E0C"/>
    <w:rsid w:val="001F5EE6"/>
    <w:rsid w:val="002045E9"/>
    <w:rsid w:val="002150E7"/>
    <w:rsid w:val="00233F09"/>
    <w:rsid w:val="00241F39"/>
    <w:rsid w:val="00242324"/>
    <w:rsid w:val="00264A07"/>
    <w:rsid w:val="00271BE4"/>
    <w:rsid w:val="00276F90"/>
    <w:rsid w:val="0027795A"/>
    <w:rsid w:val="0028526A"/>
    <w:rsid w:val="00287BB7"/>
    <w:rsid w:val="00291B88"/>
    <w:rsid w:val="00295C28"/>
    <w:rsid w:val="002B739B"/>
    <w:rsid w:val="002F06F6"/>
    <w:rsid w:val="002F292F"/>
    <w:rsid w:val="00305591"/>
    <w:rsid w:val="003163DF"/>
    <w:rsid w:val="00325CCC"/>
    <w:rsid w:val="003324D2"/>
    <w:rsid w:val="00343D45"/>
    <w:rsid w:val="0035568A"/>
    <w:rsid w:val="003600AE"/>
    <w:rsid w:val="00361D88"/>
    <w:rsid w:val="0036390D"/>
    <w:rsid w:val="003650DB"/>
    <w:rsid w:val="003764E4"/>
    <w:rsid w:val="003802FC"/>
    <w:rsid w:val="00384EFD"/>
    <w:rsid w:val="00394335"/>
    <w:rsid w:val="003A24AF"/>
    <w:rsid w:val="003A27EA"/>
    <w:rsid w:val="003B52BE"/>
    <w:rsid w:val="003C782C"/>
    <w:rsid w:val="003C7E5F"/>
    <w:rsid w:val="003E7ECC"/>
    <w:rsid w:val="003F49DE"/>
    <w:rsid w:val="00401172"/>
    <w:rsid w:val="00410A21"/>
    <w:rsid w:val="00414746"/>
    <w:rsid w:val="00416145"/>
    <w:rsid w:val="00420F70"/>
    <w:rsid w:val="004323DA"/>
    <w:rsid w:val="004442DE"/>
    <w:rsid w:val="0045219D"/>
    <w:rsid w:val="00457E5E"/>
    <w:rsid w:val="00464FF0"/>
    <w:rsid w:val="00483542"/>
    <w:rsid w:val="0049050C"/>
    <w:rsid w:val="00494208"/>
    <w:rsid w:val="0049724B"/>
    <w:rsid w:val="004A1A2D"/>
    <w:rsid w:val="004A3D71"/>
    <w:rsid w:val="004B2A04"/>
    <w:rsid w:val="004C5DCD"/>
    <w:rsid w:val="004D0EED"/>
    <w:rsid w:val="004D4DD1"/>
    <w:rsid w:val="004F19D4"/>
    <w:rsid w:val="00505E27"/>
    <w:rsid w:val="00515F4B"/>
    <w:rsid w:val="005226E3"/>
    <w:rsid w:val="00527EAE"/>
    <w:rsid w:val="005423BB"/>
    <w:rsid w:val="00552616"/>
    <w:rsid w:val="00553A71"/>
    <w:rsid w:val="005638EE"/>
    <w:rsid w:val="005642AB"/>
    <w:rsid w:val="0056776F"/>
    <w:rsid w:val="005873ED"/>
    <w:rsid w:val="00587FAD"/>
    <w:rsid w:val="0059668E"/>
    <w:rsid w:val="005B0BDC"/>
    <w:rsid w:val="005D4A3B"/>
    <w:rsid w:val="005F53BF"/>
    <w:rsid w:val="00605298"/>
    <w:rsid w:val="0060617C"/>
    <w:rsid w:val="0063371D"/>
    <w:rsid w:val="006504D2"/>
    <w:rsid w:val="0065461E"/>
    <w:rsid w:val="00655652"/>
    <w:rsid w:val="0065661E"/>
    <w:rsid w:val="00657C4F"/>
    <w:rsid w:val="0066023A"/>
    <w:rsid w:val="006624D1"/>
    <w:rsid w:val="0066552B"/>
    <w:rsid w:val="0067025B"/>
    <w:rsid w:val="006704D4"/>
    <w:rsid w:val="00683225"/>
    <w:rsid w:val="00693846"/>
    <w:rsid w:val="006B706F"/>
    <w:rsid w:val="006C3C18"/>
    <w:rsid w:val="006C634F"/>
    <w:rsid w:val="006D0311"/>
    <w:rsid w:val="006D3D95"/>
    <w:rsid w:val="00706407"/>
    <w:rsid w:val="00713C47"/>
    <w:rsid w:val="00722C46"/>
    <w:rsid w:val="007272B1"/>
    <w:rsid w:val="00731A15"/>
    <w:rsid w:val="007449A3"/>
    <w:rsid w:val="00744BBB"/>
    <w:rsid w:val="0076760D"/>
    <w:rsid w:val="00772AED"/>
    <w:rsid w:val="00775647"/>
    <w:rsid w:val="007877C1"/>
    <w:rsid w:val="00791FEE"/>
    <w:rsid w:val="00795B6B"/>
    <w:rsid w:val="007A3361"/>
    <w:rsid w:val="007A6772"/>
    <w:rsid w:val="007B0F85"/>
    <w:rsid w:val="007B1299"/>
    <w:rsid w:val="007B229B"/>
    <w:rsid w:val="007C1981"/>
    <w:rsid w:val="007C465F"/>
    <w:rsid w:val="007C561D"/>
    <w:rsid w:val="007D067E"/>
    <w:rsid w:val="007D13AC"/>
    <w:rsid w:val="007E3C5E"/>
    <w:rsid w:val="007F14B9"/>
    <w:rsid w:val="007F60A3"/>
    <w:rsid w:val="007F6B1D"/>
    <w:rsid w:val="00801E2E"/>
    <w:rsid w:val="008129E0"/>
    <w:rsid w:val="00820E53"/>
    <w:rsid w:val="00821017"/>
    <w:rsid w:val="0082421B"/>
    <w:rsid w:val="0083090D"/>
    <w:rsid w:val="008322AE"/>
    <w:rsid w:val="00834C9A"/>
    <w:rsid w:val="008512E9"/>
    <w:rsid w:val="0086191A"/>
    <w:rsid w:val="0086270E"/>
    <w:rsid w:val="008662BD"/>
    <w:rsid w:val="008C74E0"/>
    <w:rsid w:val="008D0E0D"/>
    <w:rsid w:val="008D769B"/>
    <w:rsid w:val="008E2585"/>
    <w:rsid w:val="008E6FAC"/>
    <w:rsid w:val="00900A9B"/>
    <w:rsid w:val="00910268"/>
    <w:rsid w:val="009230EB"/>
    <w:rsid w:val="009274C7"/>
    <w:rsid w:val="0093039F"/>
    <w:rsid w:val="009431D6"/>
    <w:rsid w:val="00943972"/>
    <w:rsid w:val="00944BED"/>
    <w:rsid w:val="009473BE"/>
    <w:rsid w:val="009529CE"/>
    <w:rsid w:val="00953781"/>
    <w:rsid w:val="00962B8F"/>
    <w:rsid w:val="00971E9B"/>
    <w:rsid w:val="00972EFB"/>
    <w:rsid w:val="009751CE"/>
    <w:rsid w:val="0098335C"/>
    <w:rsid w:val="009A28F7"/>
    <w:rsid w:val="009A4A72"/>
    <w:rsid w:val="009C1FC7"/>
    <w:rsid w:val="009C5EF9"/>
    <w:rsid w:val="009C6E01"/>
    <w:rsid w:val="009C70E8"/>
    <w:rsid w:val="009D20B9"/>
    <w:rsid w:val="009F57FF"/>
    <w:rsid w:val="00A154A4"/>
    <w:rsid w:val="00A20E5C"/>
    <w:rsid w:val="00A22D75"/>
    <w:rsid w:val="00A343DD"/>
    <w:rsid w:val="00A35A5B"/>
    <w:rsid w:val="00A40F66"/>
    <w:rsid w:val="00A545C4"/>
    <w:rsid w:val="00A54D4C"/>
    <w:rsid w:val="00A570B1"/>
    <w:rsid w:val="00A60912"/>
    <w:rsid w:val="00A61D21"/>
    <w:rsid w:val="00A621C1"/>
    <w:rsid w:val="00A64EC4"/>
    <w:rsid w:val="00A71B21"/>
    <w:rsid w:val="00A82E2C"/>
    <w:rsid w:val="00AA5E75"/>
    <w:rsid w:val="00AB2279"/>
    <w:rsid w:val="00AB6505"/>
    <w:rsid w:val="00AC4D5B"/>
    <w:rsid w:val="00AD2AD7"/>
    <w:rsid w:val="00AD2C8C"/>
    <w:rsid w:val="00AD4354"/>
    <w:rsid w:val="00AD748A"/>
    <w:rsid w:val="00AF1DFF"/>
    <w:rsid w:val="00B0047F"/>
    <w:rsid w:val="00B26B90"/>
    <w:rsid w:val="00B479F6"/>
    <w:rsid w:val="00B62761"/>
    <w:rsid w:val="00B64D3E"/>
    <w:rsid w:val="00B74B86"/>
    <w:rsid w:val="00B75875"/>
    <w:rsid w:val="00B809CA"/>
    <w:rsid w:val="00B81A93"/>
    <w:rsid w:val="00B8781F"/>
    <w:rsid w:val="00BB17E5"/>
    <w:rsid w:val="00BC35C3"/>
    <w:rsid w:val="00BD1771"/>
    <w:rsid w:val="00BF5871"/>
    <w:rsid w:val="00C030CF"/>
    <w:rsid w:val="00C15243"/>
    <w:rsid w:val="00C168B6"/>
    <w:rsid w:val="00C33DB1"/>
    <w:rsid w:val="00C41BBF"/>
    <w:rsid w:val="00C44739"/>
    <w:rsid w:val="00C44894"/>
    <w:rsid w:val="00C52160"/>
    <w:rsid w:val="00C65914"/>
    <w:rsid w:val="00C67698"/>
    <w:rsid w:val="00C70B34"/>
    <w:rsid w:val="00C97D9A"/>
    <w:rsid w:val="00CC5E94"/>
    <w:rsid w:val="00CD57A5"/>
    <w:rsid w:val="00CD7155"/>
    <w:rsid w:val="00CE0C84"/>
    <w:rsid w:val="00CE3469"/>
    <w:rsid w:val="00CE5575"/>
    <w:rsid w:val="00CF331C"/>
    <w:rsid w:val="00D3629D"/>
    <w:rsid w:val="00D414A6"/>
    <w:rsid w:val="00D431B6"/>
    <w:rsid w:val="00D43DFE"/>
    <w:rsid w:val="00D53CCE"/>
    <w:rsid w:val="00D57172"/>
    <w:rsid w:val="00D6143F"/>
    <w:rsid w:val="00D67092"/>
    <w:rsid w:val="00D70455"/>
    <w:rsid w:val="00D70C80"/>
    <w:rsid w:val="00D739B8"/>
    <w:rsid w:val="00D8017F"/>
    <w:rsid w:val="00DA710A"/>
    <w:rsid w:val="00DB152B"/>
    <w:rsid w:val="00DD517C"/>
    <w:rsid w:val="00DE48D4"/>
    <w:rsid w:val="00DE4EE3"/>
    <w:rsid w:val="00E021AE"/>
    <w:rsid w:val="00E04227"/>
    <w:rsid w:val="00E05A88"/>
    <w:rsid w:val="00E0668A"/>
    <w:rsid w:val="00E12117"/>
    <w:rsid w:val="00E25E63"/>
    <w:rsid w:val="00E339DA"/>
    <w:rsid w:val="00E41097"/>
    <w:rsid w:val="00E43E5D"/>
    <w:rsid w:val="00E444C5"/>
    <w:rsid w:val="00E54759"/>
    <w:rsid w:val="00E56A8E"/>
    <w:rsid w:val="00E62E65"/>
    <w:rsid w:val="00E72C65"/>
    <w:rsid w:val="00E75FE6"/>
    <w:rsid w:val="00E86BE9"/>
    <w:rsid w:val="00E920D4"/>
    <w:rsid w:val="00E93B6A"/>
    <w:rsid w:val="00EA4F4D"/>
    <w:rsid w:val="00EA5827"/>
    <w:rsid w:val="00ED3107"/>
    <w:rsid w:val="00EE042D"/>
    <w:rsid w:val="00EE3D5F"/>
    <w:rsid w:val="00EF318E"/>
    <w:rsid w:val="00EF606F"/>
    <w:rsid w:val="00F3343B"/>
    <w:rsid w:val="00F36E45"/>
    <w:rsid w:val="00F4565A"/>
    <w:rsid w:val="00F57664"/>
    <w:rsid w:val="00F635EA"/>
    <w:rsid w:val="00F737E9"/>
    <w:rsid w:val="00F7469E"/>
    <w:rsid w:val="00F8748D"/>
    <w:rsid w:val="00F9701E"/>
    <w:rsid w:val="00FA38C5"/>
    <w:rsid w:val="00FA438B"/>
    <w:rsid w:val="00FA5ACC"/>
    <w:rsid w:val="00FB28CC"/>
    <w:rsid w:val="00FB7644"/>
    <w:rsid w:val="00FD5599"/>
    <w:rsid w:val="00FE00BB"/>
    <w:rsid w:val="00FE633B"/>
    <w:rsid w:val="00FF5621"/>
    <w:rsid w:val="00FF76E0"/>
    <w:rsid w:val="7A4A9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37FD"/>
  <w15:chartTrackingRefBased/>
  <w15:docId w15:val="{542525E5-39EC-4123-9856-FA64524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A2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2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0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6">
    <w:name w:val="Grid Table 1 Light Accent 6"/>
    <w:basedOn w:val="TableNormal"/>
    <w:uiPriority w:val="46"/>
    <w:rsid w:val="00CD57A5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CD57A5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5">
    <w:name w:val="Plain Table 5"/>
    <w:basedOn w:val="TableNormal"/>
    <w:uiPriority w:val="45"/>
    <w:rsid w:val="00CD57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4A1A2D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337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1D"/>
  </w:style>
  <w:style w:type="paragraph" w:styleId="Footer">
    <w:name w:val="footer"/>
    <w:basedOn w:val="Normal"/>
    <w:link w:val="FooterChar"/>
    <w:uiPriority w:val="99"/>
    <w:unhideWhenUsed/>
    <w:rsid w:val="006337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1D"/>
  </w:style>
  <w:style w:type="paragraph" w:styleId="ListParagraph">
    <w:name w:val="List Paragraph"/>
    <w:basedOn w:val="Normal"/>
    <w:uiPriority w:val="34"/>
    <w:qFormat/>
    <w:rsid w:val="000A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3" ma:contentTypeDescription="Create a new document." ma:contentTypeScope="" ma:versionID="0e40387e3b0153b7a84a79341282320a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64042bc68d77b47ba970f19c2a4f3d71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D41A5-769F-41D6-897E-3360D6E0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B6AA0-C6D1-455A-A2A4-38BE78680E15}"/>
</file>

<file path=customXml/itemProps3.xml><?xml version="1.0" encoding="utf-8"?>
<ds:datastoreItem xmlns:ds="http://schemas.openxmlformats.org/officeDocument/2006/customXml" ds:itemID="{7092E6CC-D147-4B06-9D63-6E3A945A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Greg Kunzweiler</cp:lastModifiedBy>
  <cp:revision>2</cp:revision>
  <dcterms:created xsi:type="dcterms:W3CDTF">2022-01-14T17:01:00Z</dcterms:created>
  <dcterms:modified xsi:type="dcterms:W3CDTF">2022-01-14T17:01:00Z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</Properties>
</file>